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242</w:t>
      </w:r>
    </w:p>
    <w:p>
      <w:r>
        <w:t>Bundesgericht (BGE), 1995-07-28, DE</w:t>
      </w:r>
    </w:p>
    <w:p>
      <w:r>
        <w:rPr>
          <w:b/>
        </w:rPr>
        <w:t xml:space="preserve">Quelle: </w:t>
      </w:r>
      <w:r>
        <w:t>https://mcp.opencaselaw.ch/entscheid/bge_121 III 242</w:t>
      </w:r>
    </w:p>
    <w:p>
      <w:r>
        <w:t>FR: ATF 121 III 242</w:t>
      </w:r>
    </w:p>
    <w:p>
      <w:r>
        <w:t>IT: DTF 121 III 242</w:t>
      </w:r>
    </w:p>
    <w:p>
      <w:pPr>
        <w:pStyle w:val="Heading2"/>
      </w:pPr>
      <w:r>
        <w:t>Regeste</w:t>
      </w:r>
    </w:p>
    <w:p>
      <w:r>
        <w:t>Regeste Doppelaufruf; Art 812 Abs. 2 ZGB, Art. 142 SchKG. Wenn zugunsten von Nachbargrundstücken und zulasten des zu versteigernden Grundstückes im öffentlichen Recht begründete Ausnützung übertragen worden ist, so wird der Bestand der öffentlichrechtlichen Eigentumsbeschränkung durch die Zwangsverwertung nicht erschüttert; und es ist deshalb undenkbar, dass das Grundstück an der Steigerung einmal mit und einmal ohne Berücksichtigung der öffentlichrechtlichen Eigentumsbeschränkung ausgerufen wird.</w:t>
      </w:r>
    </w:p>
    <w:p>
      <w:pPr>
        <w:pStyle w:val="Heading2"/>
      </w:pPr>
      <w:r>
        <w:t>Erwägungen</w:t>
      </w:r>
    </w:p>
    <w:p>
      <w:r>
        <w:rPr>
          <w:b/>
        </w:rPr>
        <w:t>E. 1</w:t>
      </w:r>
    </w:p>
    <w:p>
      <w:r>
        <w:t>Ein Doppelaufruf hat - ausser im Fall, wo mit dem Grundstück zugleich Zugehör gepfändet wurde ( Art. 57 VZG in Verbindung mit Art. 102 VZG ), und im Fall, wo der Anspruch eines Pfandgläubigers von einem anderen Gläubiger im Lastenbereinigungsverfahren mit Erfolg bestritten, vom Schuldner jedoch durch Nichtbestreiten anerkannt wurde ( Art. 42 und 56 VZG in Verbindung mit Art. 102 VZG ) - auf Verlangen des im Range vorgehenden Grundpfandgläubigers immer dann stattzufinden, wenn das Grundstück ohne dessen Zustimmung mit einer Dienstbarkeit, einer Grundlast oder einem im Grundbuch eingetragenen persönlichen Recht belastet wurde ( Art. 812 Abs. 2 ZGB , Art. 142 SchKG , Art. 56 und 104 VZG ; AMONN, Grundriss des Schuldbetreibungs- und Konkursrechts, 5. Auflage Bern 1993, § 28 N. 52 ff.; FRITZSCHE/WALDER, Schuldbetreibung und Konkurs nach schweizerischem Recht, Band I, Zürich 1984, § 31 Rz. 31 ff.; GILLIÉRON, Poursuite pour dettes, faillite et concordat, 3. Auflage Lausanne 1993, S. 235). BGE 121 III 242 S. 244 Die kantonale Aufsichtsbehörde hat nun aber zu Recht erkannt, dass im vorliegenden Fall ungeachtet des Umstandes, dass die Übertragung der Ausnützungsziffern durch einen privatrechtlichen Vertrag ausgelöst wurde, weder von einer Dienstbarkeit noch von einer Grundlast noch von einem im Grundbuch eingetragenen persönlichen Recht die Rede sein kann. Als eine der Möglichkeiten zur Nutzungsbeschränkung von Grundstücken ist die Ausnützungsziffer den Ordnungs-, Gesundheits- und Sicherheitsvorschriften des Baupolizeirechts zuzuordnen (vgl. SCHÜRMANN/HÄNNI, Planungs-, Bau- und besonderes Umweltschutzrecht, 3. Auflage Zürich 1995, S. 240 ff., insbesondere S. 246 f.; HALLER/KARLEN, Raumplanungs- und Baurecht, 2. Auflage Zürich 1992, S. 152 ff., insbesondere N. 649; DILGER, Raumplanungsrecht der Schweiz, Zürich 1982, S. 51 ff., insbesondere S. 54 f.; ZEMP, Kommentar zum Baugesetz des Kantons St. Gallen vom 6. Juni 1972, Basel 1979, S. 82). Die Handhabung der öffentlichrechtlichen Bauvorschriften ist nicht dem Belieben der Privaten anheimgestellt, und so ist denn auch in dem hier zu beurteilenden Fall nach der privatrechtlichen Vereinbarung vom Gemeinderat Thal eine öffentlichrechtliche Eigentumsbeschränkung verfügt worden. Die zweimal 200 m2 Geschossfläche, deren Ausnützung die Grundpfandeigentümerin an zwei Nachbarn abgegeben hat, können nicht zugunsten des Grundstückes, das zur Versteigerung vorgesehen ist, zurückgeholt werden; denn der Bestand der öffentlichrechtlichen Eigentumsbeschränkung wird durch die Zwangsverwertung nicht erschüttert (HAAB/SIMONIUS/SCHERRER, ZOBL, N. 18 zu Art. 702 ZGB ). Es ist daher undenkbar, dass das Grundstück an der Zwangsversteigerung einmal mit und einmal ohne Berücksichtigung der öffentlichrechtlichen Eigentumsbeschränkung ausgerufen wird. Dass in einem Fall wie dem vorliegenden die den Grundpfandgläubiger schützende Bestimmung des Bundeszivilrechts ( Art. 812 Abs. 2 ZGB ) der öffentlichrechtlichen Eigentumsbeschränkung zu weichen hat, ist hinzunehmen ( Art. 6 Abs. 1 ZGB ; HUBER, N. 191 zu Art. 6 ZGB ).</w:t>
      </w:r>
    </w:p>
    <w:p>
      <w:r>
        <w:rPr>
          <w:b/>
        </w:rPr>
        <w:t>E. 2</w:t>
      </w:r>
    </w:p>
    <w:p>
      <w:r>
        <w:t>Mit der Rekurrentin mag das Befremden darüber geteilt werden, dass eine Einwilligung zur öffentlichrechtlichen Eigentumsbeschränkung, wie sie im vorliegenden Fall von der Grundpfandeigentümerin erteilt worden ist, zu einer Wertverminderung des Grundpfandes und im Augenblick der Zwangsverwertung allenfalls zu einer Schädigung des Grundpfandgläubigers, der keine Kenntnis von der Eigentumsbeschränkung hatte, führt. Doch ist BGE 121 III 242 S. 245 entgegen der Auffassung der Rekurrentin nichts Ungewöhnliches darin zu sehen, dass solchem Risiko beim Abschluss von grundpfandgesicherten Darlehensverträgen Rechnung zu tragen ist. Die kantonale Aufsichtsbehörde hat im übrigen auf die Sicherungsbefugnisse der Art. 808 ff. ZGB verwiesen, die Platz greifen, wo der Pfandgegenstand nicht mehr gleiche Sicherheit bietet wie zuvor (WIELAND, N. 3 zu Art. 808 ZGB ) oder wo durch die weitere Belastung eine indirekte Verschlechterung des Grundstückes eintritt (LEEMANN, N. 26 f. zu Art. 808 ZGB ). Über die Anwendung dieser Vorschriften des Zivilgesetzbuches haben die Aufsichtsbehörden über Schuldbetreibung und Konkurs nicht zu befinden (Art. 808 Abs. 1 und 2, Art. 809 Abs. 3 ZGB ; Art. 17 ff.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